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28" w:rsidRDefault="0005463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486105" cy="34389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105" cy="343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tbl>
      <w:tblPr>
        <w:tblStyle w:val="a"/>
        <w:tblW w:w="6084" w:type="dxa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4"/>
      </w:tblGrid>
      <w:tr w:rsidR="00493E28">
        <w:tc>
          <w:tcPr>
            <w:tcW w:w="6084" w:type="dxa"/>
          </w:tcPr>
          <w:p w:rsidR="00493E28" w:rsidRDefault="000546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 NAME:</w:t>
            </w:r>
          </w:p>
        </w:tc>
      </w:tr>
      <w:tr w:rsidR="00493E28">
        <w:tc>
          <w:tcPr>
            <w:tcW w:w="6084" w:type="dxa"/>
          </w:tcPr>
          <w:p w:rsidR="00493E28" w:rsidRDefault="000546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 NAME:</w:t>
            </w:r>
          </w:p>
        </w:tc>
      </w:tr>
      <w:tr w:rsidR="00493E28">
        <w:tc>
          <w:tcPr>
            <w:tcW w:w="6084" w:type="dxa"/>
          </w:tcPr>
          <w:p w:rsidR="00493E28" w:rsidRDefault="000546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</w:tbl>
    <w:p w:rsidR="00493E28" w:rsidRDefault="00493E2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E28" w:rsidRDefault="00493E2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E28" w:rsidRDefault="00054638">
      <w:pPr>
        <w:widowControl w:val="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Dear Parent or Guardian,</w:t>
      </w:r>
      <w: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5509260</wp:posOffset>
            </wp:positionH>
            <wp:positionV relativeFrom="paragraph">
              <wp:posOffset>-1217929</wp:posOffset>
            </wp:positionV>
            <wp:extent cx="673735" cy="7524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3E28" w:rsidRDefault="00054638">
      <w:pPr>
        <w:widowControl w:val="0"/>
        <w:rPr>
          <w:rFonts w:ascii="Arial" w:eastAsia="Arial" w:hAnsi="Arial" w:cs="Arial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6"/>
          <w:szCs w:val="26"/>
        </w:rPr>
        <w:t xml:space="preserve">Our class is enrolled in an online math program …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enVisionMATH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2020.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  <w:r>
        <w:rPr>
          <w:rFonts w:ascii="Arial" w:eastAsia="Arial" w:hAnsi="Arial" w:cs="Arial"/>
          <w:color w:val="000000"/>
          <w:sz w:val="26"/>
          <w:szCs w:val="26"/>
        </w:rPr>
        <w:br/>
        <w:t>This program is offered by Pearson Education and is found online using Pearson’s Easy Bridge/Realize. It includes the student edition, digital math tools, games, and videos.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:rsidR="00493E28" w:rsidRDefault="00054638">
      <w:pPr>
        <w:widowControl w:val="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Above is your student’s username and password.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:rsidR="00493E28" w:rsidRDefault="00054638">
      <w:pPr>
        <w:widowControl w:val="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Pearson educational materials and the online Pearson Realize system are safe and appropriate for students. If you have a home computer or tablet device with internet access, we encourage you to support your child using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enVision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MATH’s resources while at home. You will be amazed at how motivated and excited your child will be to share in the interactive learning experiences while studying at home.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  <w:t>Accessing the program from home is simple and secure. Follow these steps to get started:</w:t>
      </w:r>
    </w:p>
    <w:p w:rsidR="00493E28" w:rsidRDefault="00054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1.    Go to the HPS Launchpad on the Haverhill Public Schools’ website.</w:t>
      </w:r>
    </w:p>
    <w:p w:rsidR="00493E28" w:rsidRDefault="00054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2.    Click on the Pearson Easy Bridge icon.</w:t>
      </w:r>
    </w:p>
    <w:p w:rsidR="00493E28" w:rsidRDefault="00054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3.    Sign in using the username and password above.</w:t>
      </w:r>
    </w:p>
    <w:p w:rsidR="00493E28" w:rsidRDefault="00054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 xml:space="preserve">4.    Click on the </w:t>
      </w:r>
      <w:r>
        <w:rPr>
          <w:rFonts w:ascii="Calibri" w:eastAsia="Calibri" w:hAnsi="Calibri" w:cs="Calibri"/>
          <w:sz w:val="26"/>
          <w:szCs w:val="26"/>
          <w:highlight w:val="white"/>
        </w:rPr>
        <w:t>PEARSON realize under “learning systems”</w:t>
      </w:r>
    </w:p>
    <w:p w:rsidR="00493E28" w:rsidRDefault="00054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5</w:t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 xml:space="preserve">.    Now you can access the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enVision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 xml:space="preserve"> Math </w:t>
      </w:r>
      <w:r>
        <w:rPr>
          <w:rFonts w:ascii="Calibri" w:eastAsia="Calibri" w:hAnsi="Calibri" w:cs="Calibri"/>
          <w:sz w:val="26"/>
          <w:szCs w:val="26"/>
          <w:highlight w:val="white"/>
        </w:rPr>
        <w:t>Textb</w:t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ook and resources.​</w:t>
      </w:r>
    </w:p>
    <w:p w:rsidR="00493E28" w:rsidRDefault="00054638">
      <w:pPr>
        <w:widowControl w:val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/>
        <w:t>At any time, if you have problems accessing the program, feel free to contact Pearson’s Technical Support service. You can contact them online at: Support.PearsonSchool.com</w:t>
      </w:r>
    </w:p>
    <w:p w:rsidR="00493E28" w:rsidRDefault="00493E28">
      <w:pPr>
        <w:rPr>
          <w:rFonts w:ascii="Arial" w:eastAsia="Arial" w:hAnsi="Arial" w:cs="Arial"/>
          <w:sz w:val="26"/>
          <w:szCs w:val="26"/>
        </w:rPr>
      </w:pPr>
    </w:p>
    <w:p w:rsidR="00493E28" w:rsidRDefault="00054638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Also, feel free to contact me with any questions about your child’s math achievement.</w:t>
      </w:r>
    </w:p>
    <w:p w:rsidR="00493E28" w:rsidRDefault="00493E28">
      <w:pPr>
        <w:rPr>
          <w:rFonts w:ascii="Arial" w:eastAsia="Arial" w:hAnsi="Arial" w:cs="Arial"/>
          <w:color w:val="000000"/>
          <w:sz w:val="26"/>
          <w:szCs w:val="26"/>
        </w:rPr>
      </w:pPr>
    </w:p>
    <w:p w:rsidR="00493E28" w:rsidRDefault="00054638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Sincerely,</w:t>
      </w:r>
    </w:p>
    <w:sectPr w:rsidR="00493E28">
      <w:pgSz w:w="12240" w:h="15840"/>
      <w:pgMar w:top="1008" w:right="1008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28"/>
    <w:rsid w:val="00054638"/>
    <w:rsid w:val="00493E28"/>
    <w:rsid w:val="006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CBA7A-AC90-4343-B710-F4DEF12D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B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A1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5hnybiW1yQS8SUmvqggOxJnCug==">AMUW2mUsLJ3ttO9VIkpqBCTxNIpTTaXGyEoYnK0xh0IGhBw8xGQroMQv1T2M79Aj74/DZsooI9I4G0glQT0UeFax2k91U2hKpiO0Pn2aCIDSMLUZdBOrCaI=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Juranovits</dc:creator>
  <cp:lastModifiedBy>Ewell, Rebecca</cp:lastModifiedBy>
  <cp:revision>2</cp:revision>
  <dcterms:created xsi:type="dcterms:W3CDTF">2019-09-23T14:58:00Z</dcterms:created>
  <dcterms:modified xsi:type="dcterms:W3CDTF">2019-09-23T14:58:00Z</dcterms:modified>
</cp:coreProperties>
</file>